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158" w:rsidP="001715C9" w:rsidRDefault="004E4158" w14:paraId="4F01D5C4" w14:textId="77777777">
      <w:pPr>
        <w:spacing w:after="100" w:afterAutospacing="1" w:line="360" w:lineRule="auto"/>
      </w:pPr>
    </w:p>
    <w:p w:rsidRPr="00CC27F6" w:rsidR="004E4158" w:rsidP="001715C9" w:rsidRDefault="008269FF" w14:paraId="1472AB21" w14:textId="03E7AA71">
      <w:pPr>
        <w:spacing w:after="100" w:afterAutospacing="1" w:line="360" w:lineRule="auto"/>
        <w:jc w:val="center"/>
        <w:rPr>
          <w:b/>
          <w:bCs/>
          <w:sz w:val="32"/>
          <w:szCs w:val="32"/>
          <w:lang w:eastAsia="zh-TW"/>
        </w:rPr>
      </w:pPr>
      <w:r w:rsidRPr="008269FF">
        <w:rPr>
          <w:rFonts w:hint="eastAsia" w:eastAsia="新細明體"/>
          <w:b/>
          <w:bCs/>
          <w:sz w:val="32"/>
          <w:szCs w:val="32"/>
          <w:lang w:val="zh-Hant" w:eastAsia="zh-TW"/>
        </w:rPr>
        <w:t>關於開展防範非法集資宣傳月活動的風險提示與案例</w:t>
      </w:r>
    </w:p>
    <w:p w:rsidR="004E4158" w:rsidP="008C0CAC" w:rsidRDefault="004E4158" w14:paraId="0E1BCC2F" w14:textId="77777777">
      <w:pPr>
        <w:spacing w:after="100" w:afterAutospacing="1" w:line="360" w:lineRule="auto"/>
        <w:rPr>
          <w:sz w:val="28"/>
          <w:szCs w:val="28"/>
          <w:lang w:eastAsia="zh-TW"/>
        </w:rPr>
      </w:pPr>
    </w:p>
    <w:p w:rsidRPr="00CC27F6" w:rsidR="004E4158" w:rsidP="22D5FB56" w:rsidRDefault="008269FF" w14:paraId="5B74ED95" w14:textId="216E81A9">
      <w:pPr>
        <w:spacing w:after="100" w:afterAutospacing="on" w:line="360" w:lineRule="auto"/>
        <w:ind w:firstLine="567"/>
        <w:rPr>
          <w:sz w:val="28"/>
          <w:szCs w:val="28"/>
          <w:lang w:eastAsia="zh-TW"/>
        </w:rPr>
      </w:pPr>
      <w:r w:rsidRPr="22D5FB56" w:rsidR="008269FF">
        <w:rPr>
          <w:rFonts w:eastAsia="新細明體"/>
          <w:sz w:val="28"/>
          <w:szCs w:val="28"/>
          <w:lang w:val="zh-CHT" w:eastAsia="zh-TW"/>
        </w:rPr>
        <w:t>近期，不法分子利用高息“理財”或炒作“元宇宙”等社會熱點騙取社會公眾財產的非法集資案件多發，這些犯罪活動往往披著“投資致富”的外衣編造虛假投資專案，利用“高額回報”引起公眾投資興趣，一旦資金鏈斷裂就卷款跑路，投資者血本無歸。特此提醒廣大金融消費者：不要輕易相信所謂的高息“理財”</w:t>
      </w:r>
      <w:r w:rsidRPr="22D5FB56" w:rsidR="008269FF">
        <w:rPr>
          <w:rFonts w:eastAsia="新細明體"/>
          <w:sz w:val="28"/>
          <w:szCs w:val="28"/>
          <w:lang w:val="zh-CHT" w:eastAsia="zh-TW"/>
        </w:rPr>
        <w:t>，不被小禮品打動，不接收“先返息”之類的誘餌，要注意保護個人資訊，通過正規管道購買金融產品。如下非法集資案例供警示防範：</w:t>
      </w:r>
    </w:p>
    <w:p w:rsidRPr="00F5185A" w:rsidR="004E4158" w:rsidP="00F5185A" w:rsidRDefault="008269FF" w14:paraId="176F86BF" w14:textId="639957C7">
      <w:pPr>
        <w:spacing w:after="100" w:afterAutospacing="1" w:line="360" w:lineRule="auto"/>
        <w:ind w:left="147" w:firstLine="420"/>
        <w:rPr>
          <w:b/>
          <w:bCs/>
          <w:sz w:val="28"/>
          <w:szCs w:val="28"/>
          <w:lang w:val="zh-Hant" w:eastAsia="zh-TW"/>
        </w:rPr>
      </w:pPr>
      <w:r w:rsidRPr="008269FF">
        <w:rPr>
          <w:rFonts w:hint="eastAsia" w:eastAsia="新細明體"/>
          <w:b/>
          <w:bCs/>
          <w:sz w:val="28"/>
          <w:szCs w:val="28"/>
          <w:lang w:val="zh-Hant" w:eastAsia="zh-TW"/>
        </w:rPr>
        <w:t>利用“高息誘惑”進行非法集資</w:t>
      </w:r>
    </w:p>
    <w:p w:rsidRPr="001715C9" w:rsidR="004E4158" w:rsidP="001715C9" w:rsidRDefault="008269FF" w14:paraId="549E1024" w14:textId="5A363C36">
      <w:pPr>
        <w:spacing w:after="100" w:afterAutospacing="1" w:line="360" w:lineRule="auto"/>
        <w:ind w:firstLine="567"/>
        <w:rPr>
          <w:sz w:val="28"/>
          <w:szCs w:val="28"/>
          <w:lang w:val="zh-Hant" w:eastAsia="zh-TW"/>
        </w:rPr>
      </w:pPr>
      <w:r w:rsidRPr="22D5FB56" w:rsidR="008269FF">
        <w:rPr>
          <w:rFonts w:eastAsia="新細明體"/>
          <w:sz w:val="28"/>
          <w:szCs w:val="28"/>
          <w:lang w:val="zh-CHT" w:eastAsia="zh-TW"/>
        </w:rPr>
        <w:t>不法分子容易冒充金融機構工作人員，偽造身份證件、工作證件與金融機構相關資質證書騙取消費者的信任，進而向消費者推薦“高息理財”“高息存款”，並承諾產品同時兼顧收益性與安全性。由於消費者被所謂的“金融機構背書”與“高息”迷惑，因此戒備心下降，容易將資金購買“高息理財”“高息存款”。這種非法集資在初期往往按期付息，待集資達到一定規模後，便秘密轉移資金或攜款潛逃，使投資者、消費者遭受較大損失。</w:t>
      </w:r>
    </w:p>
    <w:p w:rsidR="00F25601" w:rsidP="00F5185A" w:rsidRDefault="008269FF" w14:paraId="4ADAF50A" w14:textId="40207448">
      <w:pPr>
        <w:spacing w:after="100" w:afterAutospacing="1" w:line="360" w:lineRule="auto"/>
        <w:ind w:left="147" w:firstLine="420"/>
        <w:rPr>
          <w:b/>
          <w:bCs/>
          <w:sz w:val="28"/>
          <w:szCs w:val="28"/>
          <w:lang w:val="zh-Hant" w:eastAsia="zh-TW"/>
        </w:rPr>
      </w:pPr>
      <w:r w:rsidRPr="008269FF">
        <w:rPr>
          <w:rFonts w:hint="eastAsia" w:eastAsia="新細明體"/>
          <w:b/>
          <w:bCs/>
          <w:sz w:val="28"/>
          <w:szCs w:val="28"/>
          <w:lang w:val="zh-Hant" w:eastAsia="zh-TW"/>
        </w:rPr>
        <w:t>“養老詐騙”型非法集資</w:t>
      </w:r>
    </w:p>
    <w:p w:rsidRPr="00CC27F6" w:rsidR="004E4158" w:rsidP="008E213B" w:rsidRDefault="008269FF" w14:paraId="717DF3FD" w14:textId="2166419D">
      <w:pPr>
        <w:spacing w:after="100" w:afterAutospacing="1" w:line="360" w:lineRule="auto"/>
        <w:ind w:firstLine="567"/>
        <w:rPr>
          <w:sz w:val="28"/>
          <w:szCs w:val="28"/>
          <w:lang w:eastAsia="zh-TW"/>
        </w:rPr>
      </w:pPr>
      <w:r w:rsidRPr="008269FF">
        <w:rPr>
          <w:rFonts w:hint="eastAsia" w:eastAsia="新細明體"/>
          <w:sz w:val="28"/>
          <w:szCs w:val="28"/>
          <w:lang w:val="zh-Hant" w:eastAsia="zh-TW"/>
        </w:rPr>
        <w:t>第七次全國普查結果顯示，中國</w:t>
      </w:r>
      <w:r w:rsidRPr="008269FF">
        <w:rPr>
          <w:rFonts w:eastAsia="新細明體"/>
          <w:sz w:val="28"/>
          <w:szCs w:val="28"/>
          <w:lang w:val="zh-Hant" w:eastAsia="zh-TW"/>
        </w:rPr>
        <w:t>60</w:t>
      </w:r>
      <w:r w:rsidRPr="008269FF">
        <w:rPr>
          <w:rFonts w:hint="eastAsia" w:eastAsia="新細明體"/>
          <w:sz w:val="28"/>
          <w:szCs w:val="28"/>
          <w:lang w:val="zh-Hant" w:eastAsia="zh-TW"/>
        </w:rPr>
        <w:t>歲以上人口占比超過</w:t>
      </w:r>
      <w:r w:rsidRPr="008269FF">
        <w:rPr>
          <w:rFonts w:eastAsia="新細明體"/>
          <w:sz w:val="28"/>
          <w:szCs w:val="28"/>
          <w:lang w:val="zh-Hant" w:eastAsia="zh-TW"/>
        </w:rPr>
        <w:t>18%</w:t>
      </w:r>
      <w:r w:rsidRPr="008269FF">
        <w:rPr>
          <w:rFonts w:hint="eastAsia" w:eastAsia="新細明體"/>
          <w:sz w:val="28"/>
          <w:szCs w:val="28"/>
          <w:lang w:val="zh-Hant" w:eastAsia="zh-TW"/>
        </w:rPr>
        <w:t>，未來人口老齡化程度還會進一步深化。不法分子在此看到“商機”，常以虛構的高端養老服務、養老投資等為幌子，向老年群體承諾預先參與項目投資者可每年獲得高額收益、享有養老基地優先居住權與終身床位等，輔以開展推介會、參觀“養老基地”等手段騙取老年群體信任進而集資。通常還伴隨著以傳銷形式拉攏身邊老年親戚、朋友參與“項目”投資，不斷發展下線形成非法利益鏈條。</w:t>
      </w:r>
    </w:p>
    <w:p w:rsidRPr="0049455F" w:rsidR="004E4158" w:rsidP="0049455F" w:rsidRDefault="008269FF" w14:paraId="08062E58" w14:textId="10D1EFBE">
      <w:pPr>
        <w:spacing w:after="100" w:afterAutospacing="1" w:line="360" w:lineRule="auto"/>
        <w:ind w:firstLine="567"/>
        <w:rPr>
          <w:sz w:val="28"/>
          <w:szCs w:val="28"/>
          <w:lang w:val="zh-Hant" w:eastAsia="zh-TW"/>
        </w:rPr>
      </w:pPr>
      <w:r w:rsidRPr="008269FF">
        <w:rPr>
          <w:rFonts w:hint="eastAsia" w:eastAsia="新細明體"/>
          <w:sz w:val="28"/>
          <w:szCs w:val="28"/>
          <w:lang w:val="zh-Hant" w:eastAsia="zh-TW"/>
        </w:rPr>
        <w:t>針對層出不窮、招式百出的非法集資騙局，提醒廣大金融消費者：</w:t>
      </w:r>
    </w:p>
    <w:p w:rsidRPr="008C0CAC" w:rsidR="008C0CAC" w:rsidP="00F5185A" w:rsidRDefault="008269FF" w14:paraId="15C03482" w14:textId="1C9378C1">
      <w:pPr>
        <w:spacing w:after="100" w:afterAutospacing="1" w:line="360" w:lineRule="auto"/>
        <w:ind w:left="147" w:firstLine="420"/>
        <w:rPr>
          <w:b/>
          <w:bCs/>
          <w:sz w:val="28"/>
          <w:szCs w:val="28"/>
          <w:lang w:val="zh-Hant" w:eastAsia="zh-TW"/>
        </w:rPr>
      </w:pPr>
      <w:r w:rsidRPr="008269FF">
        <w:rPr>
          <w:rFonts w:hint="eastAsia" w:eastAsia="新細明體"/>
          <w:b/>
          <w:bCs/>
          <w:sz w:val="28"/>
          <w:szCs w:val="28"/>
          <w:lang w:val="zh-Hant" w:eastAsia="zh-TW"/>
        </w:rPr>
        <w:t>牢記“天上不會掉餡餅”，務必守好您的“錢袋子”</w:t>
      </w:r>
    </w:p>
    <w:p w:rsidRPr="0049455F" w:rsidR="008C0CAC" w:rsidP="0049455F" w:rsidRDefault="008269FF" w14:paraId="3D8AA804" w14:textId="2B60AD32">
      <w:pPr>
        <w:spacing w:after="100" w:afterAutospacing="1" w:line="360" w:lineRule="auto"/>
        <w:ind w:firstLine="567"/>
        <w:rPr>
          <w:sz w:val="28"/>
          <w:szCs w:val="28"/>
          <w:lang w:val="zh-Hant" w:eastAsia="zh-TW"/>
        </w:rPr>
      </w:pPr>
      <w:r w:rsidRPr="008269FF">
        <w:rPr>
          <w:rFonts w:hint="eastAsia" w:eastAsia="新細明體"/>
          <w:sz w:val="28"/>
          <w:szCs w:val="28"/>
          <w:lang w:val="zh-Hant" w:eastAsia="zh-TW"/>
        </w:rPr>
        <w:t>金融消費者在投資理財時一定要查看企業的經營範圍是否包含發行理財產品、對投資者財產進行投資和管理，企業是否取得理財投資相關金融牌照或經金融管理部門批准；要樹立理性投資理財觀念，切勿相信所謂“穩賺不賠”“高收益、零風險”的謊言，高收益必然伴隨著高風險。你</w:t>
      </w:r>
      <w:r w:rsidRPr="008269FF">
        <w:rPr>
          <w:rFonts w:hint="eastAsia" w:eastAsia="新細明體"/>
          <w:sz w:val="28"/>
          <w:szCs w:val="28"/>
          <w:lang w:val="zh-Hant" w:eastAsia="zh-TW"/>
        </w:rPr>
        <w:lastRenderedPageBreak/>
        <w:t>貪人家的利息，騙子圖你的本金，不要受高收益誘惑而衝動投資。</w:t>
      </w:r>
    </w:p>
    <w:p w:rsidRPr="005F240D" w:rsidR="00F5185A" w:rsidP="005F240D" w:rsidRDefault="008269FF" w14:paraId="72AA6E70" w14:textId="73451D08">
      <w:pPr>
        <w:spacing w:after="100" w:afterAutospacing="1" w:line="360" w:lineRule="auto"/>
        <w:ind w:left="147" w:firstLine="420"/>
        <w:rPr>
          <w:b/>
          <w:bCs/>
          <w:sz w:val="28"/>
          <w:szCs w:val="28"/>
          <w:lang w:val="zh-Hant" w:eastAsia="zh-TW"/>
        </w:rPr>
      </w:pPr>
      <w:r w:rsidRPr="008269FF">
        <w:rPr>
          <w:rFonts w:hint="eastAsia" w:eastAsia="新細明體"/>
          <w:b/>
          <w:bCs/>
          <w:sz w:val="28"/>
          <w:szCs w:val="28"/>
          <w:lang w:val="zh-Hant" w:eastAsia="zh-TW"/>
        </w:rPr>
        <w:t>日常生活中增強個人資訊安全意識，慎重對待合同簽署環節</w:t>
      </w:r>
    </w:p>
    <w:p w:rsidRPr="0049455F" w:rsidR="008C0CAC" w:rsidP="0049455F" w:rsidRDefault="008269FF" w14:paraId="76D2F3D4" w14:textId="2689E472">
      <w:pPr>
        <w:spacing w:after="100" w:afterAutospacing="1" w:line="360" w:lineRule="auto"/>
        <w:ind w:firstLine="567"/>
        <w:rPr>
          <w:sz w:val="28"/>
          <w:szCs w:val="28"/>
          <w:lang w:val="zh-Hant" w:eastAsia="zh-TW"/>
        </w:rPr>
      </w:pPr>
      <w:r w:rsidRPr="008269FF">
        <w:rPr>
          <w:rFonts w:hint="eastAsia" w:eastAsia="新細明體"/>
          <w:sz w:val="28"/>
          <w:szCs w:val="28"/>
          <w:lang w:val="zh-Hant" w:eastAsia="zh-TW"/>
        </w:rPr>
        <w:t>不與銀行、保險從業人員個人簽訂投資理財協議，不在空白合同上簽字，不隨意提供身份證、銀行卡號、密碼、驗證碼等重要資訊，不隨意登錄陌生網站，不隨意點擊陌生連結，不隨意掃描陌生二維碼，以防個人資訊被騙子冒用、濫用或非法使用，甚至危害個人名譽和資金安全。</w:t>
      </w:r>
    </w:p>
    <w:p w:rsidRPr="005F240D" w:rsidR="005F240D" w:rsidP="005F240D" w:rsidRDefault="008269FF" w14:paraId="5F44A4F8" w14:textId="0C8505CA">
      <w:pPr>
        <w:spacing w:after="100" w:afterAutospacing="1" w:line="360" w:lineRule="auto"/>
        <w:ind w:left="147" w:firstLine="420"/>
        <w:rPr>
          <w:b/>
          <w:bCs/>
          <w:sz w:val="28"/>
          <w:szCs w:val="28"/>
          <w:lang w:val="zh-Hant" w:eastAsia="zh-TW"/>
        </w:rPr>
      </w:pPr>
      <w:r w:rsidRPr="008269FF">
        <w:rPr>
          <w:rFonts w:hint="eastAsia" w:eastAsia="新細明體"/>
          <w:b/>
          <w:bCs/>
          <w:sz w:val="28"/>
          <w:szCs w:val="28"/>
          <w:lang w:val="zh-Hant" w:eastAsia="zh-TW"/>
        </w:rPr>
        <w:t>對當下熱門概念炒作保持冷靜，千萬不要被新事物迷惑</w:t>
      </w:r>
    </w:p>
    <w:p w:rsidRPr="0049455F" w:rsidR="004E4158" w:rsidP="0049455F" w:rsidRDefault="008269FF" w14:paraId="4C8DA8E1" w14:textId="2C0DED62">
      <w:pPr>
        <w:spacing w:after="100" w:afterAutospacing="1" w:line="360" w:lineRule="auto"/>
        <w:ind w:firstLine="567"/>
        <w:rPr>
          <w:sz w:val="28"/>
          <w:szCs w:val="28"/>
          <w:lang w:val="zh-Hant" w:eastAsia="zh-TW"/>
        </w:rPr>
      </w:pPr>
      <w:r w:rsidRPr="008269FF">
        <w:rPr>
          <w:rFonts w:hint="eastAsia" w:eastAsia="新細明體"/>
          <w:sz w:val="28"/>
          <w:szCs w:val="28"/>
          <w:lang w:val="zh-Hant" w:eastAsia="zh-TW"/>
        </w:rPr>
        <w:t>對新型非法集資套路保持警惕，任何新事物但凡與投資理財綁定，十有八九是騙局。要學會擦亮雙眼認清非法集資的本質，多關注政府部門與金融機構發佈的非法集資風險提示，若遇到涉嫌非法集資的行為，要及時舉報投訴。</w:t>
      </w:r>
    </w:p>
    <w:p w:rsidR="004E4158" w:rsidP="001715C9" w:rsidRDefault="004E4158" w14:paraId="7194A02B" w14:textId="77777777">
      <w:pPr>
        <w:spacing w:after="100" w:afterAutospacing="1" w:line="360" w:lineRule="auto"/>
        <w:rPr>
          <w:sz w:val="28"/>
          <w:szCs w:val="28"/>
          <w:lang w:eastAsia="zh-TW"/>
        </w:rPr>
      </w:pPr>
    </w:p>
    <w:p w:rsidRPr="008157B1" w:rsidR="004E4158" w:rsidP="001715C9" w:rsidRDefault="008269FF" w14:paraId="6DD1890E" w14:textId="115D1AB4">
      <w:pPr>
        <w:spacing w:after="100" w:afterAutospacing="1" w:line="360" w:lineRule="auto"/>
        <w:rPr>
          <w:szCs w:val="21"/>
          <w:lang w:eastAsia="zh-TW"/>
        </w:rPr>
      </w:pPr>
      <w:r w:rsidRPr="008269FF">
        <w:rPr>
          <w:rFonts w:hint="eastAsia" w:eastAsia="新細明體"/>
          <w:szCs w:val="21"/>
          <w:lang w:val="zh-Hant" w:eastAsia="zh-TW"/>
        </w:rPr>
        <w:t>資料選編來源：</w:t>
      </w:r>
      <w:r w:rsidRPr="008269FF">
        <w:rPr>
          <w:rFonts w:eastAsia="新細明體"/>
          <w:szCs w:val="21"/>
          <w:lang w:val="zh-Hant" w:eastAsia="zh-TW"/>
        </w:rPr>
        <w:t>CBIRC</w:t>
      </w:r>
    </w:p>
    <w:p w:rsidR="004E4158" w:rsidP="001715C9" w:rsidRDefault="004E4158" w14:paraId="1A83CC9C" w14:textId="77777777">
      <w:pPr>
        <w:spacing w:after="100" w:afterAutospacing="1" w:line="360" w:lineRule="auto"/>
        <w:rPr>
          <w:sz w:val="28"/>
          <w:szCs w:val="28"/>
          <w:lang w:eastAsia="zh-TW"/>
        </w:rPr>
      </w:pPr>
    </w:p>
    <w:p w:rsidR="004E4158" w:rsidP="001715C9" w:rsidRDefault="004E4158" w14:paraId="4D4D2D26" w14:textId="77777777">
      <w:pPr>
        <w:spacing w:after="100" w:afterAutospacing="1" w:line="360" w:lineRule="auto"/>
        <w:rPr>
          <w:sz w:val="28"/>
          <w:szCs w:val="28"/>
          <w:lang w:eastAsia="zh-TW"/>
        </w:rPr>
      </w:pPr>
    </w:p>
    <w:p w:rsidR="004E4158" w:rsidP="001715C9" w:rsidRDefault="001C0921" w14:paraId="24C9F8A7" w14:textId="42EF7564">
      <w:pPr>
        <w:spacing w:after="100" w:afterAutospacing="1" w:line="360" w:lineRule="auto"/>
        <w:jc w:val="right"/>
        <w:rPr>
          <w:sz w:val="28"/>
          <w:szCs w:val="28"/>
          <w:lang w:eastAsia="zh-TW"/>
        </w:rPr>
      </w:pPr>
      <w:r w:rsidRPr="001C0921">
        <w:rPr>
          <w:rFonts w:hint="eastAsia" w:eastAsia="新細明體"/>
          <w:sz w:val="28"/>
          <w:szCs w:val="28"/>
          <w:lang w:val="zh-Hant" w:eastAsia="zh-TW"/>
        </w:rPr>
        <w:t>中國人壽富蘭克林資產管理有限公司</w:t>
      </w:r>
    </w:p>
    <w:p w:rsidRPr="00CC27F6" w:rsidR="004E4158" w:rsidP="001715C9" w:rsidRDefault="008269FF" w14:paraId="7354DD15" w14:textId="6AB6C55E">
      <w:pPr>
        <w:spacing w:after="100" w:afterAutospacing="1" w:line="360" w:lineRule="auto"/>
        <w:ind w:left="5040" w:right="1120" w:firstLine="420"/>
        <w:jc w:val="center"/>
        <w:rPr>
          <w:sz w:val="28"/>
          <w:szCs w:val="28"/>
        </w:rPr>
      </w:pPr>
      <w:r w:rsidRPr="008269FF">
        <w:rPr>
          <w:rFonts w:eastAsia="新細明體"/>
          <w:sz w:val="28"/>
          <w:szCs w:val="28"/>
          <w:lang w:val="zh-Hant" w:eastAsia="zh-TW"/>
        </w:rPr>
        <w:t>202</w:t>
      </w:r>
      <w:r>
        <w:rPr>
          <w:rFonts w:eastAsia="新細明體"/>
          <w:sz w:val="28"/>
          <w:szCs w:val="28"/>
          <w:lang w:val="zh-Hant" w:eastAsia="zh-TW"/>
        </w:rPr>
        <w:t>3</w:t>
      </w:r>
      <w:r w:rsidRPr="008269FF">
        <w:rPr>
          <w:rFonts w:hint="eastAsia" w:eastAsia="新細明體"/>
          <w:sz w:val="28"/>
          <w:szCs w:val="28"/>
          <w:lang w:val="zh-Hant" w:eastAsia="zh-TW"/>
        </w:rPr>
        <w:t>年</w:t>
      </w:r>
      <w:r w:rsidRPr="008269FF">
        <w:rPr>
          <w:rFonts w:eastAsia="新細明體"/>
          <w:sz w:val="28"/>
          <w:szCs w:val="28"/>
          <w:lang w:val="zh-Hant" w:eastAsia="zh-TW"/>
        </w:rPr>
        <w:t>6</w:t>
      </w:r>
      <w:r w:rsidRPr="008269FF">
        <w:rPr>
          <w:rFonts w:hint="eastAsia" w:eastAsia="新細明體"/>
          <w:sz w:val="28"/>
          <w:szCs w:val="28"/>
          <w:lang w:val="zh-Hant" w:eastAsia="zh-TW"/>
        </w:rPr>
        <w:t>月</w:t>
      </w:r>
    </w:p>
    <w:p w:rsidRPr="00CC27F6" w:rsidR="008157B1" w:rsidP="001715C9" w:rsidRDefault="008157B1" w14:paraId="24B265F1" w14:textId="7D1FFB8A">
      <w:pPr>
        <w:spacing w:after="100" w:afterAutospacing="1" w:line="360" w:lineRule="auto"/>
        <w:ind w:left="5040" w:right="1120" w:firstLine="420"/>
        <w:jc w:val="center"/>
        <w:rPr>
          <w:sz w:val="28"/>
          <w:szCs w:val="28"/>
        </w:rPr>
      </w:pPr>
    </w:p>
    <w:sectPr w:rsidRPr="00CC27F6" w:rsidR="008157B1" w:rsidSect="009C16EA">
      <w:footerReference w:type="default" r:id="rId9"/>
      <w:pgSz w:w="11906" w:h="16838" w:orient="portrait"/>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0F4" w:rsidP="00C85A31" w:rsidRDefault="003550F4" w14:paraId="378AA7AB" w14:textId="77777777">
      <w:r>
        <w:separator/>
      </w:r>
    </w:p>
  </w:endnote>
  <w:endnote w:type="continuationSeparator" w:id="0">
    <w:p w:rsidR="003550F4" w:rsidP="00C85A31" w:rsidRDefault="003550F4" w14:paraId="3F1630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96190"/>
      <w:docPartObj>
        <w:docPartGallery w:val="Page Numbers (Bottom of Page)"/>
        <w:docPartUnique/>
      </w:docPartObj>
    </w:sdtPr>
    <w:sdtContent>
      <w:sdt>
        <w:sdtPr>
          <w:id w:val="1728636285"/>
          <w:docPartObj>
            <w:docPartGallery w:val="Page Numbers (Top of Page)"/>
            <w:docPartUnique/>
          </w:docPartObj>
        </w:sdtPr>
        <w:sdtContent>
          <w:p w:rsidR="008157B1" w:rsidRDefault="008157B1" w14:paraId="4D6FE4ED" w14:textId="2FF4DC6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8157B1" w:rsidRDefault="008157B1" w14:paraId="3AC8B7CA"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0F4" w:rsidP="00C85A31" w:rsidRDefault="003550F4" w14:paraId="6F491EF8" w14:textId="77777777">
      <w:r>
        <w:separator/>
      </w:r>
    </w:p>
  </w:footnote>
  <w:footnote w:type="continuationSeparator" w:id="0">
    <w:p w:rsidR="003550F4" w:rsidP="00C85A31" w:rsidRDefault="003550F4" w14:paraId="280E541F"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val="false"/>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0"/>
    <w:rsid w:val="000256C2"/>
    <w:rsid w:val="00060AB0"/>
    <w:rsid w:val="00061E9C"/>
    <w:rsid w:val="00065067"/>
    <w:rsid w:val="0007447E"/>
    <w:rsid w:val="00084914"/>
    <w:rsid w:val="000C4D48"/>
    <w:rsid w:val="000E73EB"/>
    <w:rsid w:val="00124FE2"/>
    <w:rsid w:val="0012694F"/>
    <w:rsid w:val="00153813"/>
    <w:rsid w:val="00161ECA"/>
    <w:rsid w:val="001715C9"/>
    <w:rsid w:val="001778D9"/>
    <w:rsid w:val="00183B25"/>
    <w:rsid w:val="001933E1"/>
    <w:rsid w:val="001A12CF"/>
    <w:rsid w:val="001C0921"/>
    <w:rsid w:val="001C746F"/>
    <w:rsid w:val="001E3A35"/>
    <w:rsid w:val="001E5A00"/>
    <w:rsid w:val="001F74BF"/>
    <w:rsid w:val="00226FF5"/>
    <w:rsid w:val="00247A74"/>
    <w:rsid w:val="002725EE"/>
    <w:rsid w:val="002C25FF"/>
    <w:rsid w:val="002D6D92"/>
    <w:rsid w:val="002F01B9"/>
    <w:rsid w:val="00300D55"/>
    <w:rsid w:val="003062AE"/>
    <w:rsid w:val="003110DC"/>
    <w:rsid w:val="00321824"/>
    <w:rsid w:val="0032266C"/>
    <w:rsid w:val="003243CF"/>
    <w:rsid w:val="00336C67"/>
    <w:rsid w:val="003550F4"/>
    <w:rsid w:val="00357E42"/>
    <w:rsid w:val="00380182"/>
    <w:rsid w:val="0038534C"/>
    <w:rsid w:val="003906BB"/>
    <w:rsid w:val="003B3D87"/>
    <w:rsid w:val="003B4056"/>
    <w:rsid w:val="003D35F6"/>
    <w:rsid w:val="003E60D1"/>
    <w:rsid w:val="00400D38"/>
    <w:rsid w:val="00406FE9"/>
    <w:rsid w:val="00421085"/>
    <w:rsid w:val="00425FCE"/>
    <w:rsid w:val="00433AC4"/>
    <w:rsid w:val="00445853"/>
    <w:rsid w:val="00453BEF"/>
    <w:rsid w:val="00472DE9"/>
    <w:rsid w:val="004752C9"/>
    <w:rsid w:val="00480B95"/>
    <w:rsid w:val="0049455F"/>
    <w:rsid w:val="004A5803"/>
    <w:rsid w:val="004B1A53"/>
    <w:rsid w:val="004B3B4E"/>
    <w:rsid w:val="004C2DC7"/>
    <w:rsid w:val="004D27D2"/>
    <w:rsid w:val="004E4158"/>
    <w:rsid w:val="004E78A8"/>
    <w:rsid w:val="004F142B"/>
    <w:rsid w:val="004F2920"/>
    <w:rsid w:val="00532B4A"/>
    <w:rsid w:val="005334E3"/>
    <w:rsid w:val="00557DD9"/>
    <w:rsid w:val="00562269"/>
    <w:rsid w:val="005645AA"/>
    <w:rsid w:val="0058791F"/>
    <w:rsid w:val="005A220B"/>
    <w:rsid w:val="005B42B1"/>
    <w:rsid w:val="005C0499"/>
    <w:rsid w:val="005F240D"/>
    <w:rsid w:val="005F5AD1"/>
    <w:rsid w:val="006009B7"/>
    <w:rsid w:val="0061038C"/>
    <w:rsid w:val="006147B3"/>
    <w:rsid w:val="00622FC4"/>
    <w:rsid w:val="00644983"/>
    <w:rsid w:val="0064582E"/>
    <w:rsid w:val="00662CC0"/>
    <w:rsid w:val="006A5BE5"/>
    <w:rsid w:val="006D2813"/>
    <w:rsid w:val="006D799B"/>
    <w:rsid w:val="00712BC0"/>
    <w:rsid w:val="007207AE"/>
    <w:rsid w:val="00721CFA"/>
    <w:rsid w:val="00733648"/>
    <w:rsid w:val="007533D0"/>
    <w:rsid w:val="007624FC"/>
    <w:rsid w:val="00767F00"/>
    <w:rsid w:val="00793D9B"/>
    <w:rsid w:val="00796527"/>
    <w:rsid w:val="007A41F3"/>
    <w:rsid w:val="007C1B88"/>
    <w:rsid w:val="007D0738"/>
    <w:rsid w:val="007D7DAA"/>
    <w:rsid w:val="007F313B"/>
    <w:rsid w:val="007F50CB"/>
    <w:rsid w:val="00812BFC"/>
    <w:rsid w:val="008157B1"/>
    <w:rsid w:val="008269FF"/>
    <w:rsid w:val="00835F2A"/>
    <w:rsid w:val="00837BF6"/>
    <w:rsid w:val="0084085B"/>
    <w:rsid w:val="00841B92"/>
    <w:rsid w:val="00842FC0"/>
    <w:rsid w:val="00865B27"/>
    <w:rsid w:val="008825D6"/>
    <w:rsid w:val="008B3484"/>
    <w:rsid w:val="008B5041"/>
    <w:rsid w:val="008B5643"/>
    <w:rsid w:val="008C00FD"/>
    <w:rsid w:val="008C0CAC"/>
    <w:rsid w:val="008D72D4"/>
    <w:rsid w:val="008E213B"/>
    <w:rsid w:val="008F1504"/>
    <w:rsid w:val="008F6519"/>
    <w:rsid w:val="00934798"/>
    <w:rsid w:val="009714F0"/>
    <w:rsid w:val="009825F7"/>
    <w:rsid w:val="009862E4"/>
    <w:rsid w:val="00986AB5"/>
    <w:rsid w:val="0098745B"/>
    <w:rsid w:val="009C16EA"/>
    <w:rsid w:val="009C4CDC"/>
    <w:rsid w:val="009E16B2"/>
    <w:rsid w:val="009E511E"/>
    <w:rsid w:val="009F69DF"/>
    <w:rsid w:val="00A008BA"/>
    <w:rsid w:val="00A17E48"/>
    <w:rsid w:val="00A31D16"/>
    <w:rsid w:val="00A444BB"/>
    <w:rsid w:val="00A62171"/>
    <w:rsid w:val="00A62C93"/>
    <w:rsid w:val="00AC30F4"/>
    <w:rsid w:val="00AF4293"/>
    <w:rsid w:val="00B17C95"/>
    <w:rsid w:val="00B20755"/>
    <w:rsid w:val="00B56EDD"/>
    <w:rsid w:val="00B653F1"/>
    <w:rsid w:val="00B741C6"/>
    <w:rsid w:val="00B83FF6"/>
    <w:rsid w:val="00B937BF"/>
    <w:rsid w:val="00BA5C0B"/>
    <w:rsid w:val="00BB21CB"/>
    <w:rsid w:val="00BC7EE4"/>
    <w:rsid w:val="00BE343F"/>
    <w:rsid w:val="00C00F8B"/>
    <w:rsid w:val="00C10C97"/>
    <w:rsid w:val="00C12496"/>
    <w:rsid w:val="00C16965"/>
    <w:rsid w:val="00C30B95"/>
    <w:rsid w:val="00C34904"/>
    <w:rsid w:val="00C4610F"/>
    <w:rsid w:val="00C60FF9"/>
    <w:rsid w:val="00C719D8"/>
    <w:rsid w:val="00C74196"/>
    <w:rsid w:val="00C85A31"/>
    <w:rsid w:val="00CA303B"/>
    <w:rsid w:val="00CB12EE"/>
    <w:rsid w:val="00CC27F6"/>
    <w:rsid w:val="00CC2D57"/>
    <w:rsid w:val="00CE1396"/>
    <w:rsid w:val="00CF7634"/>
    <w:rsid w:val="00D0782C"/>
    <w:rsid w:val="00D15160"/>
    <w:rsid w:val="00D22357"/>
    <w:rsid w:val="00D22A99"/>
    <w:rsid w:val="00D23148"/>
    <w:rsid w:val="00D328D7"/>
    <w:rsid w:val="00D50D70"/>
    <w:rsid w:val="00D90159"/>
    <w:rsid w:val="00DB67EF"/>
    <w:rsid w:val="00DB75D4"/>
    <w:rsid w:val="00DC02D0"/>
    <w:rsid w:val="00DC3108"/>
    <w:rsid w:val="00DD7B9E"/>
    <w:rsid w:val="00E14EB5"/>
    <w:rsid w:val="00E34D5B"/>
    <w:rsid w:val="00E437C1"/>
    <w:rsid w:val="00E4795C"/>
    <w:rsid w:val="00E661F3"/>
    <w:rsid w:val="00E95419"/>
    <w:rsid w:val="00EB46B6"/>
    <w:rsid w:val="00EE65ED"/>
    <w:rsid w:val="00F17E20"/>
    <w:rsid w:val="00F25601"/>
    <w:rsid w:val="00F309DD"/>
    <w:rsid w:val="00F41674"/>
    <w:rsid w:val="00F5185A"/>
    <w:rsid w:val="00F52243"/>
    <w:rsid w:val="00F6590E"/>
    <w:rsid w:val="00F703B4"/>
    <w:rsid w:val="00F829EE"/>
    <w:rsid w:val="00F93C63"/>
    <w:rsid w:val="00FA548B"/>
    <w:rsid w:val="00FA59AB"/>
    <w:rsid w:val="00FF1C14"/>
    <w:rsid w:val="011F1E38"/>
    <w:rsid w:val="22D5FB56"/>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2F9E"/>
  <w15:chartTrackingRefBased/>
  <w15:docId w15:val="{DA9E505B-77C5-4298-9ECD-18182ECE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C85A31"/>
    <w:pPr>
      <w:pBdr>
        <w:bottom w:val="single" w:color="auto" w:sz="6" w:space="1"/>
      </w:pBdr>
      <w:tabs>
        <w:tab w:val="center" w:pos="4153"/>
        <w:tab w:val="right" w:pos="8306"/>
      </w:tabs>
      <w:snapToGrid w:val="0"/>
      <w:jc w:val="center"/>
    </w:pPr>
    <w:rPr>
      <w:sz w:val="18"/>
      <w:szCs w:val="18"/>
    </w:rPr>
  </w:style>
  <w:style w:type="character" w:styleId="a4" w:customStyle="1">
    <w:name w:val="页眉 字符"/>
    <w:basedOn w:val="a0"/>
    <w:link w:val="a3"/>
    <w:uiPriority w:val="99"/>
    <w:rsid w:val="00C85A31"/>
    <w:rPr>
      <w:sz w:val="18"/>
      <w:szCs w:val="18"/>
    </w:rPr>
  </w:style>
  <w:style w:type="paragraph" w:styleId="a5">
    <w:name w:val="footer"/>
    <w:basedOn w:val="a"/>
    <w:link w:val="a6"/>
    <w:uiPriority w:val="99"/>
    <w:unhideWhenUsed/>
    <w:rsid w:val="00C85A31"/>
    <w:pPr>
      <w:tabs>
        <w:tab w:val="center" w:pos="4153"/>
        <w:tab w:val="right" w:pos="8306"/>
      </w:tabs>
      <w:snapToGrid w:val="0"/>
      <w:jc w:val="left"/>
    </w:pPr>
    <w:rPr>
      <w:sz w:val="18"/>
      <w:szCs w:val="18"/>
    </w:rPr>
  </w:style>
  <w:style w:type="character" w:styleId="a6" w:customStyle="1">
    <w:name w:val="页脚 字符"/>
    <w:basedOn w:val="a0"/>
    <w:link w:val="a5"/>
    <w:uiPriority w:val="99"/>
    <w:rsid w:val="00C85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glossaryDocument" Target="glossary/document.xml" Id="R3e00497977944ca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cba6a8-2194-48b9-9bf4-e0c1e7fa4f94}"/>
      </w:docPartPr>
      <w:docPartBody>
        <w:p w14:paraId="74E8A89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DFFF8202FAE49B4303784B168A3DE" ma:contentTypeVersion="16" ma:contentTypeDescription="Create a new document." ma:contentTypeScope="" ma:versionID="aa9d9d822974a10fc290e43c0229ea2b">
  <xsd:schema xmlns:xsd="http://www.w3.org/2001/XMLSchema" xmlns:xs="http://www.w3.org/2001/XMLSchema" xmlns:p="http://schemas.microsoft.com/office/2006/metadata/properties" xmlns:ns2="99178c32-9d22-46da-b8e1-fcf8948f9db0" xmlns:ns3="fc9b15c0-6c27-4ceb-bbb7-a5ab96146af0" targetNamespace="http://schemas.microsoft.com/office/2006/metadata/properties" ma:root="true" ma:fieldsID="6bed3ff24bb13ae1510bca12f78c2664" ns2:_="" ns3:_="">
    <xsd:import namespace="99178c32-9d22-46da-b8e1-fcf8948f9db0"/>
    <xsd:import namespace="fc9b15c0-6c27-4ceb-bbb7-a5ab96146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c32-9d22-46da-b8e1-fcf8948f9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3637f-8b75-4404-9f45-b6f36ca416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9b15c0-6c27-4ceb-bbb7-a5ab96146a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01ef6f-129a-4ccb-ae59-4e1ffced3d6d}" ma:internalName="TaxCatchAll" ma:showField="CatchAllData" ma:web="fc9b15c0-6c27-4ceb-bbb7-a5ab96146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78c32-9d22-46da-b8e1-fcf8948f9db0">
      <Terms xmlns="http://schemas.microsoft.com/office/infopath/2007/PartnerControls"/>
    </lcf76f155ced4ddcb4097134ff3c332f>
    <TaxCatchAll xmlns="fc9b15c0-6c27-4ceb-bbb7-a5ab96146a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3EC85-DF1D-41A6-AB7A-C44CC717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8c32-9d22-46da-b8e1-fcf8948f9db0"/>
    <ds:schemaRef ds:uri="fc9b15c0-6c27-4ceb-bbb7-a5ab96146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E9E0E-47C5-4197-B8FB-FA146F43D61F}">
  <ds:schemaRefs>
    <ds:schemaRef ds:uri="http://schemas.microsoft.com/office/2006/metadata/properties"/>
    <ds:schemaRef ds:uri="http://schemas.microsoft.com/office/infopath/2007/PartnerControls"/>
    <ds:schemaRef ds:uri="99178c32-9d22-46da-b8e1-fcf8948f9db0"/>
    <ds:schemaRef ds:uri="fc9b15c0-6c27-4ceb-bbb7-a5ab96146af0"/>
  </ds:schemaRefs>
</ds:datastoreItem>
</file>

<file path=customXml/itemProps3.xml><?xml version="1.0" encoding="utf-8"?>
<ds:datastoreItem xmlns:ds="http://schemas.openxmlformats.org/officeDocument/2006/customXml" ds:itemID="{C831C0B7-4C66-4D63-90B0-EB3C4571CC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Chong Tian</dc:creator>
  <keywords/>
  <dc:description/>
  <lastModifiedBy>Yvonne Ye</lastModifiedBy>
  <revision>27</revision>
  <dcterms:created xsi:type="dcterms:W3CDTF">2022-06-16T03:10:00.0000000Z</dcterms:created>
  <dcterms:modified xsi:type="dcterms:W3CDTF">2023-06-29T04:04:24.4089920Z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0x010100837DFFF8202FAE49B4303784B168A3DE</vt:lpwstr>
  </property>
  <property fmtid="{D5CDD505-2E9C-101B-9397-08002B2CF9AE}" pid="3" name="MediaServiceImageTags">
    <vt:lpwstr/>
  </property>
</Properties>
</file>